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5B4F7" w14:textId="77777777" w:rsidR="00100A3F" w:rsidRPr="00D86EF0" w:rsidRDefault="00100A3F" w:rsidP="00100A3F">
      <w:pPr>
        <w:pBdr>
          <w:top w:val="single" w:sz="4" w:space="0" w:color="auto"/>
          <w:left w:val="single" w:sz="4" w:space="4" w:color="auto"/>
          <w:bottom w:val="single" w:sz="4" w:space="0" w:color="auto"/>
          <w:right w:val="single" w:sz="4" w:space="4" w:color="auto"/>
        </w:pBdr>
        <w:shd w:val="clear" w:color="auto" w:fill="D9D9D9"/>
        <w:jc w:val="center"/>
        <w:rPr>
          <w:b/>
        </w:rPr>
      </w:pPr>
      <w:r w:rsidRPr="00D86EF0">
        <w:rPr>
          <w:b/>
        </w:rPr>
        <w:t>INSET</w:t>
      </w:r>
      <w:r w:rsidR="00D86EF0">
        <w:rPr>
          <w:b/>
        </w:rPr>
        <w:t xml:space="preserve"> / CPD</w:t>
      </w:r>
      <w:r w:rsidRPr="00D86EF0">
        <w:rPr>
          <w:b/>
        </w:rPr>
        <w:t xml:space="preserve"> POLICY</w:t>
      </w:r>
    </w:p>
    <w:p w14:paraId="3A6C46D1" w14:textId="77777777" w:rsidR="00100A3F" w:rsidRPr="00D86EF0" w:rsidRDefault="00100A3F" w:rsidP="00100A3F">
      <w:pPr>
        <w:ind w:left="680" w:hanging="680"/>
        <w:rPr>
          <w:b/>
        </w:rPr>
      </w:pPr>
    </w:p>
    <w:p w14:paraId="66E586A8" w14:textId="77777777" w:rsidR="00100A3F" w:rsidRPr="00D86EF0" w:rsidRDefault="00100A3F" w:rsidP="00100A3F">
      <w:pPr>
        <w:autoSpaceDE w:val="0"/>
        <w:autoSpaceDN w:val="0"/>
        <w:adjustRightInd w:val="0"/>
        <w:rPr>
          <w:rFonts w:eastAsia="Calibri"/>
          <w:b/>
          <w:bCs/>
        </w:rPr>
      </w:pPr>
    </w:p>
    <w:p w14:paraId="5803E2FC" w14:textId="77777777" w:rsidR="007B6E6F" w:rsidRPr="007B6E6F" w:rsidRDefault="007B6E6F" w:rsidP="007B6E6F">
      <w:pPr>
        <w:pStyle w:val="NormalWeb"/>
      </w:pPr>
      <w:r w:rsidRPr="007B6E6F">
        <w:t xml:space="preserve">At Collingham College, we aim to create and sustain a community of learners that engages with and contributes to the broader field of education. Our teachers are expected to meet the highest standards, and so are highly qualified specialists that constantly seek to improve their professional practice and to reflect on their teaching. Participation in </w:t>
      </w:r>
      <w:r w:rsidRPr="007B6E6F">
        <w:rPr>
          <w:bCs/>
        </w:rPr>
        <w:t>Continuing Professional Development (CPD)</w:t>
      </w:r>
      <w:r w:rsidRPr="007B6E6F">
        <w:t>, both within school and externally, is a key factor in ensuring that these expectations are met, and that we continue to innovate and improve our professional practice.</w:t>
      </w:r>
    </w:p>
    <w:p w14:paraId="2827BF2E" w14:textId="77777777" w:rsidR="007B6E6F" w:rsidRPr="007B6E6F" w:rsidRDefault="007B6E6F" w:rsidP="007B6E6F">
      <w:pPr>
        <w:pStyle w:val="NormalWeb"/>
      </w:pPr>
      <w:r w:rsidRPr="007B6E6F">
        <w:t>Collingham INSET plays an important part in the safeguarding and promotion of the welfare of students. The college is mindful of its duty to equip staff with the appropriate training to follow the college’s procedures and to raise concerns appropriately. Through appropriate training, it seeks to create an environment where staff feel supported in their safeguarding role and able to raise concerns.</w:t>
      </w:r>
    </w:p>
    <w:p w14:paraId="17DE1531" w14:textId="77777777" w:rsidR="007B6E6F" w:rsidRPr="007B6E6F" w:rsidRDefault="007B6E6F" w:rsidP="007B6E6F">
      <w:pPr>
        <w:pStyle w:val="NormalWeb"/>
      </w:pPr>
      <w:r w:rsidRPr="007B6E6F">
        <w:t>The College’s INSET programme is aimed at ensuring that our staff are competent, knowledgeable, skilled, reflective, and improving.</w:t>
      </w:r>
    </w:p>
    <w:p w14:paraId="3DDFA53C" w14:textId="77777777" w:rsidR="007B6E6F" w:rsidRPr="007B6E6F" w:rsidRDefault="007B6E6F" w:rsidP="007B6E6F">
      <w:pPr>
        <w:pStyle w:val="NormalWeb"/>
      </w:pPr>
      <w:r w:rsidRPr="007B6E6F">
        <w:t>Purposes</w:t>
      </w:r>
    </w:p>
    <w:p w14:paraId="47D2BD9F" w14:textId="77777777" w:rsidR="007B6E6F" w:rsidRPr="007B6E6F" w:rsidRDefault="007B6E6F" w:rsidP="007B6E6F">
      <w:pPr>
        <w:pStyle w:val="NormalWeb"/>
      </w:pPr>
      <w:r w:rsidRPr="007B6E6F">
        <w:t>The purposes of INSET are:</w:t>
      </w:r>
    </w:p>
    <w:p w14:paraId="7AC159E5" w14:textId="77777777" w:rsidR="007B6E6F" w:rsidRPr="007B6E6F" w:rsidRDefault="007B6E6F" w:rsidP="007B6E6F">
      <w:pPr>
        <w:pStyle w:val="NormalWeb"/>
        <w:numPr>
          <w:ilvl w:val="0"/>
          <w:numId w:val="5"/>
        </w:numPr>
      </w:pPr>
      <w:r w:rsidRPr="007B6E6F">
        <w:t>To ensure that staff have the necessary knowledge and skills to fulfil their roles effectively.</w:t>
      </w:r>
    </w:p>
    <w:p w14:paraId="66A29DED" w14:textId="77777777" w:rsidR="007B6E6F" w:rsidRPr="007B6E6F" w:rsidRDefault="007B6E6F" w:rsidP="007B6E6F">
      <w:pPr>
        <w:pStyle w:val="NormalWeb"/>
        <w:numPr>
          <w:ilvl w:val="0"/>
          <w:numId w:val="5"/>
        </w:numPr>
      </w:pPr>
      <w:r w:rsidRPr="007B6E6F">
        <w:t>To refresh and update staff knowledge and understanding of safeguarding issues and practices.</w:t>
      </w:r>
    </w:p>
    <w:p w14:paraId="07917121" w14:textId="77777777" w:rsidR="007B6E6F" w:rsidRPr="007B6E6F" w:rsidRDefault="007B6E6F" w:rsidP="007B6E6F">
      <w:pPr>
        <w:pStyle w:val="NormalWeb"/>
        <w:numPr>
          <w:ilvl w:val="0"/>
          <w:numId w:val="5"/>
        </w:numPr>
      </w:pPr>
      <w:r w:rsidRPr="007B6E6F">
        <w:t>To keep knowledge of best teaching practice up-to-date and ‘fresh’.</w:t>
      </w:r>
    </w:p>
    <w:p w14:paraId="71ADC545" w14:textId="77777777" w:rsidR="007B6E6F" w:rsidRPr="007B6E6F" w:rsidRDefault="007B6E6F" w:rsidP="007B6E6F">
      <w:pPr>
        <w:pStyle w:val="NormalWeb"/>
        <w:numPr>
          <w:ilvl w:val="0"/>
          <w:numId w:val="5"/>
        </w:numPr>
      </w:pPr>
      <w:r w:rsidRPr="007B6E6F">
        <w:t>To sustain and develop staff confidence and motivation.</w:t>
      </w:r>
    </w:p>
    <w:p w14:paraId="3275D071" w14:textId="77777777" w:rsidR="007B6E6F" w:rsidRPr="007B6E6F" w:rsidRDefault="007B6E6F" w:rsidP="007B6E6F">
      <w:pPr>
        <w:pStyle w:val="NormalWeb"/>
        <w:numPr>
          <w:ilvl w:val="0"/>
          <w:numId w:val="5"/>
        </w:numPr>
      </w:pPr>
      <w:r w:rsidRPr="007B6E6F">
        <w:t>To enable responses to changes in the national education landscape (e.g. exam content reform, etc.)</w:t>
      </w:r>
    </w:p>
    <w:p w14:paraId="6CCA59F0" w14:textId="77777777" w:rsidR="007B6E6F" w:rsidRPr="007B6E6F" w:rsidRDefault="007B6E6F" w:rsidP="007B6E6F">
      <w:pPr>
        <w:pStyle w:val="NormalWeb"/>
        <w:numPr>
          <w:ilvl w:val="0"/>
          <w:numId w:val="5"/>
        </w:numPr>
      </w:pPr>
      <w:r w:rsidRPr="007B6E6F">
        <w:t>To provide staff with skills and knowledge suitable for future career ambitions.</w:t>
      </w:r>
    </w:p>
    <w:p w14:paraId="29E932B1" w14:textId="77777777" w:rsidR="007B6E6F" w:rsidRPr="007B6E6F" w:rsidRDefault="007B6E6F" w:rsidP="007B6E6F">
      <w:pPr>
        <w:pStyle w:val="NormalWeb"/>
        <w:numPr>
          <w:ilvl w:val="0"/>
          <w:numId w:val="5"/>
        </w:numPr>
      </w:pPr>
      <w:r w:rsidRPr="007B6E6F">
        <w:t>To foster collaboration and mutual support between members of staff.</w:t>
      </w:r>
    </w:p>
    <w:p w14:paraId="724A765B" w14:textId="77777777" w:rsidR="007B6E6F" w:rsidRPr="007B6E6F" w:rsidRDefault="007B6E6F" w:rsidP="007B6E6F">
      <w:pPr>
        <w:pStyle w:val="NormalWeb"/>
      </w:pPr>
      <w:r w:rsidRPr="007B6E6F">
        <w:t>INSET Provision</w:t>
      </w:r>
    </w:p>
    <w:p w14:paraId="2DAB7AE5" w14:textId="77777777" w:rsidR="007B6E6F" w:rsidRPr="007B6E6F" w:rsidRDefault="007B6E6F" w:rsidP="007B6E6F">
      <w:pPr>
        <w:pStyle w:val="NormalWeb"/>
      </w:pPr>
      <w:r w:rsidRPr="007B6E6F">
        <w:t>All teaching staff will be given access to the Collingham INSET programme. This will take different forms, but will include compulsory and voluntary elements.</w:t>
      </w:r>
    </w:p>
    <w:p w14:paraId="26966428" w14:textId="77777777" w:rsidR="007B6E6F" w:rsidRPr="007B6E6F" w:rsidRDefault="007B6E6F" w:rsidP="007B6E6F">
      <w:pPr>
        <w:pStyle w:val="NormalWeb"/>
      </w:pPr>
      <w:r w:rsidRPr="007B6E6F">
        <w:t>Annual compulsory elements include:</w:t>
      </w:r>
    </w:p>
    <w:p w14:paraId="728D1883" w14:textId="77777777" w:rsidR="007B6E6F" w:rsidRPr="007B6E6F" w:rsidRDefault="007B6E6F" w:rsidP="007B6E6F">
      <w:pPr>
        <w:pStyle w:val="NormalWeb"/>
        <w:numPr>
          <w:ilvl w:val="0"/>
          <w:numId w:val="6"/>
        </w:numPr>
      </w:pPr>
      <w:r w:rsidRPr="007B6E6F">
        <w:t>3 x INSET sessions relating to health &amp; safety/safeguarding</w:t>
      </w:r>
    </w:p>
    <w:p w14:paraId="29F24C75" w14:textId="77777777" w:rsidR="007B6E6F" w:rsidRPr="007B6E6F" w:rsidRDefault="007B6E6F" w:rsidP="007B6E6F">
      <w:pPr>
        <w:pStyle w:val="NormalWeb"/>
        <w:numPr>
          <w:ilvl w:val="0"/>
          <w:numId w:val="6"/>
        </w:numPr>
      </w:pPr>
      <w:r w:rsidRPr="007B6E6F">
        <w:t>1 x e-training / external speaker training relating to health &amp; safety/safeguarding</w:t>
      </w:r>
    </w:p>
    <w:p w14:paraId="4F6BE983" w14:textId="77777777" w:rsidR="007B6E6F" w:rsidRPr="007B6E6F" w:rsidRDefault="007B6E6F" w:rsidP="007B6E6F">
      <w:pPr>
        <w:pStyle w:val="NormalWeb"/>
      </w:pPr>
      <w:r w:rsidRPr="007B6E6F">
        <w:t>Additional INSET will be provided across the year that relates to teaching and other academic matters.</w:t>
      </w:r>
    </w:p>
    <w:p w14:paraId="79EA2B97" w14:textId="77777777" w:rsidR="007B6E6F" w:rsidRPr="007B6E6F" w:rsidRDefault="007B6E6F" w:rsidP="007B6E6F">
      <w:pPr>
        <w:pStyle w:val="NormalWeb"/>
      </w:pPr>
      <w:r w:rsidRPr="007B6E6F">
        <w:lastRenderedPageBreak/>
        <w:t>External CPD</w:t>
      </w:r>
    </w:p>
    <w:p w14:paraId="27973A5D" w14:textId="77777777" w:rsidR="007B6E6F" w:rsidRPr="007B6E6F" w:rsidRDefault="007B6E6F" w:rsidP="007B6E6F">
      <w:pPr>
        <w:pStyle w:val="NormalWeb"/>
      </w:pPr>
      <w:r w:rsidRPr="007B6E6F">
        <w:t>Teaching staff are encouraged to take part in courses, workshops, talks, conferences, etc. that will support their professional development. Teaching staff may usually have two days a year to attend external CPD during normal working time and receive their normal daily pay.</w:t>
      </w:r>
    </w:p>
    <w:p w14:paraId="6FA6DB06" w14:textId="77777777" w:rsidR="007B6E6F" w:rsidRPr="007B6E6F" w:rsidRDefault="007B6E6F" w:rsidP="007B6E6F">
      <w:pPr>
        <w:pStyle w:val="NormalWeb"/>
      </w:pPr>
      <w:r w:rsidRPr="007B6E6F">
        <w:t xml:space="preserve">It is </w:t>
      </w:r>
      <w:r w:rsidRPr="007B6E6F">
        <w:rPr>
          <w:bCs/>
        </w:rPr>
        <w:t>recommended</w:t>
      </w:r>
      <w:r w:rsidRPr="007B6E6F">
        <w:t xml:space="preserve"> that all staff attend training provided by relevant examination boards at least every 3-4 years and at times of significant change to the specification.</w:t>
      </w:r>
    </w:p>
    <w:p w14:paraId="6F2D5BD4" w14:textId="77777777" w:rsidR="007B6E6F" w:rsidRPr="007B6E6F" w:rsidRDefault="007B6E6F" w:rsidP="007B6E6F">
      <w:pPr>
        <w:pStyle w:val="NormalWeb"/>
      </w:pPr>
      <w:r w:rsidRPr="007B6E6F">
        <w:t>Where a staff member has formally given notice of their intention to end their employment at Collingham College, funding for external CPD may then be restricted, at the discretion of the Deputy Principal and/or Principal. This is because external CPD should enable staff to fulfil their roles at Collingham College effectively, and so where a staff member will shortly be leaving the college this may not represent the most efficient allocation of staff time and funding.</w:t>
      </w:r>
    </w:p>
    <w:p w14:paraId="3A28CE86" w14:textId="77777777" w:rsidR="007B6E6F" w:rsidRPr="007B6E6F" w:rsidRDefault="007B6E6F" w:rsidP="007B6E6F">
      <w:pPr>
        <w:pStyle w:val="NormalWeb"/>
      </w:pPr>
      <w:r w:rsidRPr="007B6E6F">
        <w:t>A member of staff wishing to attend a CPD event should discuss this with the relevant Head of Department in the first instance.</w:t>
      </w:r>
    </w:p>
    <w:p w14:paraId="66F8205D" w14:textId="77777777" w:rsidR="00100A3F" w:rsidRDefault="00100A3F" w:rsidP="00100A3F">
      <w:pPr>
        <w:pBdr>
          <w:bottom w:val="single" w:sz="6" w:space="1" w:color="auto"/>
        </w:pBdr>
        <w:autoSpaceDE w:val="0"/>
        <w:autoSpaceDN w:val="0"/>
        <w:adjustRightInd w:val="0"/>
        <w:rPr>
          <w:rFonts w:eastAsia="Calibri"/>
        </w:rPr>
      </w:pPr>
    </w:p>
    <w:p w14:paraId="57FE7862" w14:textId="77777777" w:rsidR="00D86EF0" w:rsidRDefault="00D86EF0" w:rsidP="00100A3F">
      <w:pPr>
        <w:pBdr>
          <w:bottom w:val="single" w:sz="6" w:space="1" w:color="auto"/>
        </w:pBdr>
        <w:autoSpaceDE w:val="0"/>
        <w:autoSpaceDN w:val="0"/>
        <w:adjustRightInd w:val="0"/>
        <w:rPr>
          <w:rFonts w:eastAsia="Calibri"/>
        </w:rPr>
      </w:pPr>
    </w:p>
    <w:p w14:paraId="585D3752" w14:textId="77777777" w:rsidR="00D86EF0" w:rsidRDefault="00D86EF0" w:rsidP="00100A3F">
      <w:pPr>
        <w:autoSpaceDE w:val="0"/>
        <w:autoSpaceDN w:val="0"/>
        <w:adjustRightInd w:val="0"/>
        <w:rPr>
          <w:rFonts w:eastAsia="Calibri"/>
        </w:rPr>
      </w:pPr>
    </w:p>
    <w:p w14:paraId="0B2017F7" w14:textId="77777777" w:rsidR="00D86EF0" w:rsidRDefault="00D86EF0" w:rsidP="00D86EF0">
      <w:pPr>
        <w:jc w:val="both"/>
        <w:rPr>
          <w:b/>
          <w:bCs/>
        </w:rPr>
      </w:pPr>
      <w:r w:rsidRPr="008F2576">
        <w:rPr>
          <w:b/>
          <w:bCs/>
        </w:rPr>
        <w:t>Applies to:</w:t>
      </w:r>
    </w:p>
    <w:p w14:paraId="694403AB" w14:textId="77777777" w:rsidR="00BA6F1C" w:rsidRPr="008F2576" w:rsidRDefault="00BA6F1C" w:rsidP="00D86EF0">
      <w:pPr>
        <w:jc w:val="both"/>
        <w:rPr>
          <w:b/>
          <w:bCs/>
        </w:rPr>
      </w:pPr>
    </w:p>
    <w:p w14:paraId="714DA603" w14:textId="77777777" w:rsidR="00D86EF0" w:rsidRPr="008F2576" w:rsidRDefault="00D86EF0" w:rsidP="00D86EF0">
      <w:pPr>
        <w:numPr>
          <w:ilvl w:val="0"/>
          <w:numId w:val="4"/>
        </w:numPr>
        <w:ind w:left="284" w:hanging="284"/>
        <w:jc w:val="both"/>
      </w:pPr>
      <w:r w:rsidRPr="008F2576">
        <w:t>All staf</w:t>
      </w:r>
      <w:r w:rsidR="00BA6F1C">
        <w:t xml:space="preserve">f (teaching and administrative staff) </w:t>
      </w:r>
      <w:r w:rsidRPr="008F2576">
        <w:t>working in the college.</w:t>
      </w:r>
    </w:p>
    <w:p w14:paraId="4AE6BAB3" w14:textId="77777777" w:rsidR="00D86EF0" w:rsidRDefault="00D86EF0" w:rsidP="00100A3F">
      <w:pPr>
        <w:autoSpaceDE w:val="0"/>
        <w:autoSpaceDN w:val="0"/>
        <w:adjustRightInd w:val="0"/>
        <w:rPr>
          <w:rFonts w:eastAsia="Calibri"/>
        </w:rPr>
      </w:pPr>
    </w:p>
    <w:p w14:paraId="10953760" w14:textId="77777777" w:rsidR="00D86EF0" w:rsidRPr="008F2576" w:rsidRDefault="00D86EF0" w:rsidP="00D86EF0">
      <w:pPr>
        <w:tabs>
          <w:tab w:val="left" w:pos="284"/>
        </w:tabs>
        <w:jc w:val="both"/>
        <w:rPr>
          <w:b/>
        </w:rPr>
      </w:pPr>
      <w:r w:rsidRPr="008F2576">
        <w:rPr>
          <w:b/>
        </w:rPr>
        <w:t>Availability</w:t>
      </w:r>
    </w:p>
    <w:p w14:paraId="477A2941" w14:textId="77777777" w:rsidR="00D86EF0" w:rsidRPr="008F2576" w:rsidRDefault="00D86EF0" w:rsidP="00D86EF0">
      <w:pPr>
        <w:tabs>
          <w:tab w:val="left" w:pos="284"/>
        </w:tabs>
        <w:jc w:val="both"/>
      </w:pPr>
      <w:r w:rsidRPr="008F2576">
        <w:t xml:space="preserve">This </w:t>
      </w:r>
      <w:r w:rsidR="006D71F4">
        <w:t>p</w:t>
      </w:r>
      <w:r w:rsidRPr="008F2576">
        <w:t xml:space="preserve">olicy is made available to </w:t>
      </w:r>
      <w:r>
        <w:t>staff via the Collingham Staff Portal.</w:t>
      </w:r>
      <w:r w:rsidRPr="008F2576">
        <w:t xml:space="preserve"> </w:t>
      </w:r>
    </w:p>
    <w:p w14:paraId="348D721D" w14:textId="77777777" w:rsidR="00D86EF0" w:rsidRPr="008F2576" w:rsidRDefault="00D86EF0" w:rsidP="00D86EF0">
      <w:pPr>
        <w:tabs>
          <w:tab w:val="left" w:pos="284"/>
        </w:tabs>
        <w:jc w:val="both"/>
        <w:rPr>
          <w:b/>
        </w:rPr>
      </w:pPr>
    </w:p>
    <w:p w14:paraId="315F91A9" w14:textId="77777777" w:rsidR="00D86EF0" w:rsidRPr="008F2576" w:rsidRDefault="00D86EF0" w:rsidP="00D86EF0">
      <w:pPr>
        <w:tabs>
          <w:tab w:val="left" w:pos="284"/>
        </w:tabs>
        <w:jc w:val="both"/>
        <w:rPr>
          <w:b/>
        </w:rPr>
      </w:pPr>
      <w:r w:rsidRPr="008F2576">
        <w:rPr>
          <w:b/>
        </w:rPr>
        <w:t>Monitoring and Review</w:t>
      </w:r>
    </w:p>
    <w:p w14:paraId="3A63D30B" w14:textId="77777777" w:rsidR="00D86EF0" w:rsidRPr="008F2576" w:rsidRDefault="00D86EF0" w:rsidP="00D86EF0">
      <w:pPr>
        <w:numPr>
          <w:ilvl w:val="0"/>
          <w:numId w:val="3"/>
        </w:numPr>
        <w:tabs>
          <w:tab w:val="clear" w:pos="720"/>
          <w:tab w:val="num" w:pos="284"/>
        </w:tabs>
        <w:ind w:left="284" w:hanging="284"/>
        <w:jc w:val="both"/>
      </w:pPr>
      <w:r w:rsidRPr="008F2576">
        <w:t xml:space="preserve">This policy will be subject to continuous monitoring, refinement and audit by the Principal. </w:t>
      </w:r>
    </w:p>
    <w:p w14:paraId="22A40DE3" w14:textId="77777777" w:rsidR="00D86EF0" w:rsidRPr="008F2576" w:rsidRDefault="00D86EF0" w:rsidP="00D86EF0">
      <w:pPr>
        <w:ind w:left="284"/>
        <w:jc w:val="both"/>
      </w:pPr>
    </w:p>
    <w:p w14:paraId="0AB57C7C" w14:textId="77777777" w:rsidR="00D86EF0" w:rsidRDefault="00D86EF0" w:rsidP="00D86EF0">
      <w:pPr>
        <w:numPr>
          <w:ilvl w:val="0"/>
          <w:numId w:val="3"/>
        </w:numPr>
        <w:tabs>
          <w:tab w:val="clear" w:pos="720"/>
          <w:tab w:val="num" w:pos="284"/>
        </w:tabs>
        <w:ind w:left="284" w:hanging="284"/>
        <w:jc w:val="both"/>
      </w:pPr>
      <w:r w:rsidRPr="008F2576">
        <w:t>The Board of Dire</w:t>
      </w:r>
      <w:r>
        <w:t xml:space="preserve">ctors undertake a formal </w:t>
      </w:r>
      <w:r w:rsidRPr="008F2576">
        <w:t>review of this policy for the purpose of monitoring and of the efficiency with which the related duties have been d</w:t>
      </w:r>
      <w:r>
        <w:t xml:space="preserve">ischarged, by no later than two </w:t>
      </w:r>
      <w:r w:rsidRPr="008F2576">
        <w:t>year</w:t>
      </w:r>
      <w:r>
        <w:t>s</w:t>
      </w:r>
      <w:r w:rsidRPr="008F2576">
        <w:t xml:space="preserve"> from the date shown below, or earlier if significant changes to the systems and arrangements take place, or if legislation, regulatory requirements or best practice guidelines so require. </w:t>
      </w:r>
    </w:p>
    <w:p w14:paraId="6F754B4E" w14:textId="77777777" w:rsidR="00D86EF0" w:rsidRPr="008F2576" w:rsidRDefault="00D86EF0" w:rsidP="00D86EF0">
      <w:pPr>
        <w:jc w:val="both"/>
      </w:pPr>
    </w:p>
    <w:p w14:paraId="01D6DA43" w14:textId="77777777" w:rsidR="00D86EF0" w:rsidRPr="008F2576" w:rsidRDefault="00D86EF0" w:rsidP="00D86EF0">
      <w:pPr>
        <w:jc w:val="both"/>
      </w:pPr>
    </w:p>
    <w:p w14:paraId="2A7FF79C" w14:textId="348F0DB3" w:rsidR="00D86EF0" w:rsidRPr="008F2576" w:rsidRDefault="00D86EF0" w:rsidP="00D86EF0">
      <w:pPr>
        <w:jc w:val="both"/>
      </w:pPr>
      <w:r>
        <w:t>Signed:</w:t>
      </w:r>
      <w:r>
        <w:tab/>
      </w:r>
      <w:r>
        <w:tab/>
      </w:r>
      <w:r>
        <w:tab/>
      </w:r>
      <w:r>
        <w:tab/>
      </w:r>
      <w:r>
        <w:tab/>
      </w:r>
      <w:r w:rsidRPr="008F2576">
        <w:t xml:space="preserve">Date:  </w:t>
      </w:r>
      <w:r w:rsidR="007B6E6F">
        <w:t>December</w:t>
      </w:r>
      <w:r w:rsidR="00D76471">
        <w:t xml:space="preserve"> 202</w:t>
      </w:r>
      <w:r w:rsidR="007B6E6F">
        <w:t>5</w:t>
      </w:r>
      <w:r w:rsidR="00D76471">
        <w:t xml:space="preserve"> </w:t>
      </w:r>
    </w:p>
    <w:p w14:paraId="0A4AE927" w14:textId="77777777" w:rsidR="00D86EF0" w:rsidRPr="008F2576" w:rsidRDefault="00D86EF0" w:rsidP="00D86EF0">
      <w:pPr>
        <w:jc w:val="both"/>
      </w:pPr>
      <w:r w:rsidRPr="008F2576">
        <w:tab/>
      </w:r>
      <w:r w:rsidRPr="008F2576">
        <w:tab/>
      </w:r>
      <w:r w:rsidRPr="008F2576">
        <w:tab/>
      </w:r>
      <w:r w:rsidRPr="008F2576">
        <w:tab/>
      </w:r>
      <w:r w:rsidRPr="008F2576">
        <w:tab/>
      </w:r>
      <w:r w:rsidRPr="008F2576">
        <w:tab/>
      </w:r>
      <w:r w:rsidRPr="008F2576">
        <w:tab/>
      </w:r>
      <w:r w:rsidRPr="008F2576">
        <w:tab/>
      </w:r>
    </w:p>
    <w:p w14:paraId="76DF409A" w14:textId="77777777" w:rsidR="00D86EF0" w:rsidRPr="008F2576" w:rsidRDefault="00D86EF0" w:rsidP="00D86EF0">
      <w:pPr>
        <w:pStyle w:val="aLCPBodytext"/>
        <w:rPr>
          <w:rFonts w:ascii="Times New Roman" w:hAnsi="Times New Roman" w:cs="Times New Roman"/>
          <w:sz w:val="24"/>
          <w:szCs w:val="24"/>
        </w:rPr>
      </w:pPr>
    </w:p>
    <w:p w14:paraId="6DBE4010" w14:textId="6F0D4E09" w:rsidR="00D86EF0" w:rsidRPr="00D86EF0" w:rsidRDefault="00D76471" w:rsidP="00BA6F1C">
      <w:pPr>
        <w:pStyle w:val="aLCPBodytext"/>
        <w:rPr>
          <w:rFonts w:ascii="Times New Roman" w:eastAsia="Calibri" w:hAnsi="Times New Roman" w:cs="Times New Roman"/>
          <w:sz w:val="24"/>
          <w:szCs w:val="24"/>
        </w:rPr>
      </w:pPr>
      <w:r>
        <w:rPr>
          <w:rFonts w:ascii="Times New Roman" w:hAnsi="Times New Roman" w:cs="Times New Roman"/>
          <w:sz w:val="24"/>
          <w:szCs w:val="24"/>
        </w:rPr>
        <w:t>James Allder</w:t>
      </w:r>
      <w:r w:rsidR="00D86EF0" w:rsidRPr="008F2576">
        <w:rPr>
          <w:rFonts w:ascii="Times New Roman" w:hAnsi="Times New Roman" w:cs="Times New Roman"/>
          <w:sz w:val="24"/>
          <w:szCs w:val="24"/>
        </w:rPr>
        <w:tab/>
      </w:r>
      <w:r w:rsidR="00D86EF0" w:rsidRPr="008F2576">
        <w:rPr>
          <w:rFonts w:ascii="Times New Roman" w:hAnsi="Times New Roman" w:cs="Times New Roman"/>
          <w:sz w:val="24"/>
          <w:szCs w:val="24"/>
        </w:rPr>
        <w:tab/>
      </w:r>
      <w:r w:rsidR="00D86EF0" w:rsidRPr="008F2576">
        <w:rPr>
          <w:rFonts w:ascii="Times New Roman" w:hAnsi="Times New Roman" w:cs="Times New Roman"/>
          <w:sz w:val="24"/>
          <w:szCs w:val="24"/>
        </w:rPr>
        <w:tab/>
        <w:t xml:space="preserve"> </w:t>
      </w:r>
      <w:r w:rsidR="00D86EF0" w:rsidRPr="008F2576">
        <w:rPr>
          <w:rFonts w:ascii="Times New Roman" w:hAnsi="Times New Roman" w:cs="Times New Roman"/>
          <w:sz w:val="24"/>
          <w:szCs w:val="24"/>
        </w:rPr>
        <w:tab/>
      </w:r>
      <w:r>
        <w:rPr>
          <w:rFonts w:ascii="Times New Roman" w:hAnsi="Times New Roman" w:cs="Times New Roman"/>
          <w:sz w:val="24"/>
          <w:szCs w:val="24"/>
        </w:rPr>
        <w:t xml:space="preserve">            </w:t>
      </w:r>
      <w:r w:rsidR="00D86EF0" w:rsidRPr="008F2576">
        <w:rPr>
          <w:rFonts w:ascii="Times New Roman" w:hAnsi="Times New Roman" w:cs="Times New Roman"/>
          <w:sz w:val="24"/>
          <w:szCs w:val="24"/>
        </w:rPr>
        <w:t xml:space="preserve">Edward Browne and </w:t>
      </w:r>
      <w:r w:rsidR="007B6E6F">
        <w:rPr>
          <w:rFonts w:ascii="Times New Roman" w:hAnsi="Times New Roman" w:cs="Times New Roman"/>
          <w:sz w:val="24"/>
          <w:szCs w:val="24"/>
        </w:rPr>
        <w:t>William</w:t>
      </w:r>
      <w:bookmarkStart w:id="0" w:name="_GoBack"/>
      <w:bookmarkEnd w:id="0"/>
      <w:r w:rsidR="00D86EF0" w:rsidRPr="008F2576">
        <w:rPr>
          <w:rFonts w:ascii="Times New Roman" w:hAnsi="Times New Roman" w:cs="Times New Roman"/>
          <w:sz w:val="24"/>
          <w:szCs w:val="24"/>
        </w:rPr>
        <w:t xml:space="preserve"> Marsden</w:t>
      </w:r>
      <w:r w:rsidR="00D86EF0" w:rsidRPr="008F2576">
        <w:rPr>
          <w:rFonts w:ascii="Times New Roman" w:hAnsi="Times New Roman" w:cs="Times New Roman"/>
          <w:sz w:val="24"/>
          <w:szCs w:val="24"/>
        </w:rPr>
        <w:tab/>
      </w:r>
      <w:r w:rsidR="00D86EF0" w:rsidRPr="008F2576">
        <w:rPr>
          <w:rFonts w:ascii="Times New Roman" w:hAnsi="Times New Roman" w:cs="Times New Roman"/>
          <w:sz w:val="24"/>
          <w:szCs w:val="24"/>
        </w:rPr>
        <w:tab/>
        <w:t xml:space="preserve">       </w:t>
      </w:r>
      <w:r w:rsidR="00D86EF0">
        <w:rPr>
          <w:rFonts w:ascii="Times New Roman" w:hAnsi="Times New Roman" w:cs="Times New Roman"/>
          <w:sz w:val="24"/>
          <w:szCs w:val="24"/>
        </w:rPr>
        <w:t>Principal</w:t>
      </w:r>
      <w:r w:rsidR="00D86EF0">
        <w:rPr>
          <w:rFonts w:ascii="Times New Roman" w:hAnsi="Times New Roman" w:cs="Times New Roman"/>
          <w:sz w:val="24"/>
          <w:szCs w:val="24"/>
        </w:rPr>
        <w:tab/>
      </w:r>
      <w:r w:rsidR="00D86EF0">
        <w:rPr>
          <w:rFonts w:ascii="Times New Roman" w:hAnsi="Times New Roman" w:cs="Times New Roman"/>
          <w:sz w:val="24"/>
          <w:szCs w:val="24"/>
        </w:rPr>
        <w:tab/>
      </w:r>
      <w:r w:rsidR="00D86EF0" w:rsidRPr="008F2576">
        <w:rPr>
          <w:rFonts w:ascii="Times New Roman" w:hAnsi="Times New Roman" w:cs="Times New Roman"/>
          <w:sz w:val="24"/>
          <w:szCs w:val="24"/>
        </w:rPr>
        <w:tab/>
      </w:r>
      <w:r w:rsidR="00D86EF0" w:rsidRPr="008F2576">
        <w:rPr>
          <w:rFonts w:ascii="Times New Roman" w:hAnsi="Times New Roman" w:cs="Times New Roman"/>
          <w:sz w:val="24"/>
          <w:szCs w:val="24"/>
        </w:rPr>
        <w:tab/>
      </w:r>
      <w:r w:rsidR="00D86EF0" w:rsidRPr="008F2576">
        <w:rPr>
          <w:rFonts w:ascii="Times New Roman" w:hAnsi="Times New Roman" w:cs="Times New Roman"/>
          <w:sz w:val="24"/>
          <w:szCs w:val="24"/>
        </w:rPr>
        <w:tab/>
        <w:t>Board of Directors</w:t>
      </w:r>
    </w:p>
    <w:sectPr w:rsidR="00D86EF0" w:rsidRPr="00D86EF0" w:rsidSect="00A35EBE">
      <w:headerReference w:type="default" r:id="rId7"/>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6CA31" w14:textId="77777777" w:rsidR="00100A3F" w:rsidRDefault="00100A3F" w:rsidP="00100A3F">
      <w:r>
        <w:separator/>
      </w:r>
    </w:p>
  </w:endnote>
  <w:endnote w:type="continuationSeparator" w:id="0">
    <w:p w14:paraId="4F7E3E5B" w14:textId="77777777" w:rsidR="00100A3F" w:rsidRDefault="00100A3F" w:rsidP="0010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9E3C3" w14:textId="77777777" w:rsidR="00100A3F" w:rsidRDefault="00100A3F" w:rsidP="00100A3F">
      <w:r>
        <w:separator/>
      </w:r>
    </w:p>
  </w:footnote>
  <w:footnote w:type="continuationSeparator" w:id="0">
    <w:p w14:paraId="530EE0D4" w14:textId="77777777" w:rsidR="00100A3F" w:rsidRDefault="00100A3F" w:rsidP="00100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F7D98" w14:textId="5232287B" w:rsidR="00100A3F" w:rsidRDefault="00891C88" w:rsidP="00100A3F">
    <w:pPr>
      <w:pStyle w:val="Header"/>
      <w:jc w:val="center"/>
    </w:pPr>
    <w:r>
      <w:rPr>
        <w:noProof/>
        <w:lang w:eastAsia="en-GB"/>
      </w:rPr>
      <w:drawing>
        <wp:anchor distT="0" distB="0" distL="114300" distR="114300" simplePos="0" relativeHeight="251658240" behindDoc="0" locked="0" layoutInCell="1" allowOverlap="1" wp14:anchorId="6947D863" wp14:editId="0E7B6626">
          <wp:simplePos x="0" y="0"/>
          <wp:positionH relativeFrom="margin">
            <wp:align>center</wp:align>
          </wp:positionH>
          <wp:positionV relativeFrom="paragraph">
            <wp:posOffset>55245</wp:posOffset>
          </wp:positionV>
          <wp:extent cx="3422015" cy="638175"/>
          <wp:effectExtent l="0" t="0" r="6985" b="9525"/>
          <wp:wrapSquare wrapText="bothSides"/>
          <wp:docPr id="352782982"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82982" name="Picture 2" descr="A blue and black logo&#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01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114F7"/>
    <w:multiLevelType w:val="hybridMultilevel"/>
    <w:tmpl w:val="E54AF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4209154C"/>
    <w:multiLevelType w:val="multilevel"/>
    <w:tmpl w:val="918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2E6155"/>
    <w:multiLevelType w:val="hybridMultilevel"/>
    <w:tmpl w:val="889065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2FB1BBB"/>
    <w:multiLevelType w:val="hybridMultilevel"/>
    <w:tmpl w:val="DF3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5C7274"/>
    <w:multiLevelType w:val="multilevel"/>
    <w:tmpl w:val="36D8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3E7D09"/>
    <w:multiLevelType w:val="multilevel"/>
    <w:tmpl w:val="3D6EF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A3F"/>
    <w:rsid w:val="00100A3F"/>
    <w:rsid w:val="00587483"/>
    <w:rsid w:val="00612DC2"/>
    <w:rsid w:val="00622F9A"/>
    <w:rsid w:val="006744BE"/>
    <w:rsid w:val="006D71F4"/>
    <w:rsid w:val="007253E9"/>
    <w:rsid w:val="007B6E6F"/>
    <w:rsid w:val="00891C88"/>
    <w:rsid w:val="008E341C"/>
    <w:rsid w:val="00970997"/>
    <w:rsid w:val="00A102AB"/>
    <w:rsid w:val="00A35EBE"/>
    <w:rsid w:val="00BA6F1C"/>
    <w:rsid w:val="00D36D0C"/>
    <w:rsid w:val="00D76471"/>
    <w:rsid w:val="00D86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2219"/>
  <w15:chartTrackingRefBased/>
  <w15:docId w15:val="{1E30DAF0-01A0-4E21-A43C-CD1CDC18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A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A3F"/>
    <w:pPr>
      <w:tabs>
        <w:tab w:val="center" w:pos="4513"/>
        <w:tab w:val="right" w:pos="9026"/>
      </w:tabs>
    </w:pPr>
  </w:style>
  <w:style w:type="character" w:customStyle="1" w:styleId="HeaderChar">
    <w:name w:val="Header Char"/>
    <w:basedOn w:val="DefaultParagraphFont"/>
    <w:link w:val="Header"/>
    <w:uiPriority w:val="99"/>
    <w:rsid w:val="00100A3F"/>
  </w:style>
  <w:style w:type="paragraph" w:styleId="Footer">
    <w:name w:val="footer"/>
    <w:basedOn w:val="Normal"/>
    <w:link w:val="FooterChar"/>
    <w:uiPriority w:val="99"/>
    <w:unhideWhenUsed/>
    <w:rsid w:val="00100A3F"/>
    <w:pPr>
      <w:tabs>
        <w:tab w:val="center" w:pos="4513"/>
        <w:tab w:val="right" w:pos="9026"/>
      </w:tabs>
    </w:pPr>
  </w:style>
  <w:style w:type="character" w:customStyle="1" w:styleId="FooterChar">
    <w:name w:val="Footer Char"/>
    <w:basedOn w:val="DefaultParagraphFont"/>
    <w:link w:val="Footer"/>
    <w:uiPriority w:val="99"/>
    <w:rsid w:val="00100A3F"/>
  </w:style>
  <w:style w:type="paragraph" w:styleId="ListParagraph">
    <w:name w:val="List Paragraph"/>
    <w:basedOn w:val="Normal"/>
    <w:uiPriority w:val="72"/>
    <w:qFormat/>
    <w:rsid w:val="00100A3F"/>
    <w:pPr>
      <w:ind w:left="720"/>
    </w:pPr>
  </w:style>
  <w:style w:type="paragraph" w:customStyle="1" w:styleId="aLCPBodytext">
    <w:name w:val="a LCP Body text"/>
    <w:autoRedefine/>
    <w:rsid w:val="00D86EF0"/>
    <w:pPr>
      <w:tabs>
        <w:tab w:val="left" w:pos="0"/>
      </w:tabs>
      <w:spacing w:after="0" w:line="240" w:lineRule="auto"/>
      <w:jc w:val="both"/>
    </w:pPr>
    <w:rPr>
      <w:rFonts w:ascii="Calibri" w:eastAsia="Times New Roman" w:hAnsi="Calibri" w:cs="Calibri"/>
    </w:rPr>
  </w:style>
  <w:style w:type="paragraph" w:styleId="BalloonText">
    <w:name w:val="Balloon Text"/>
    <w:basedOn w:val="Normal"/>
    <w:link w:val="BalloonTextChar"/>
    <w:uiPriority w:val="99"/>
    <w:semiHidden/>
    <w:unhideWhenUsed/>
    <w:rsid w:val="006D71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1F4"/>
    <w:rPr>
      <w:rFonts w:ascii="Segoe UI" w:eastAsia="Times New Roman" w:hAnsi="Segoe UI" w:cs="Segoe UI"/>
      <w:sz w:val="18"/>
      <w:szCs w:val="18"/>
    </w:rPr>
  </w:style>
  <w:style w:type="paragraph" w:styleId="Revision">
    <w:name w:val="Revision"/>
    <w:hidden/>
    <w:uiPriority w:val="99"/>
    <w:semiHidden/>
    <w:rsid w:val="00891C88"/>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B6E6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2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Powell</dc:creator>
  <cp:keywords/>
  <dc:description/>
  <cp:lastModifiedBy>James Allder</cp:lastModifiedBy>
  <cp:revision>2</cp:revision>
  <dcterms:created xsi:type="dcterms:W3CDTF">2025-12-19T13:32:00Z</dcterms:created>
  <dcterms:modified xsi:type="dcterms:W3CDTF">2025-12-19T13:32:00Z</dcterms:modified>
</cp:coreProperties>
</file>